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проведения стимулирующей акции «</w:t>
      </w:r>
      <w:r>
        <w:rPr>
          <w:rFonts w:ascii="Times New Roman" w:hAnsi="Times New Roman" w:cs="Times New Roman"/>
          <w:b/>
          <w:sz w:val="24"/>
          <w:szCs w:val="24"/>
        </w:rPr>
        <w:t xml:space="preserve">Гастро-Фест» </w:t>
      </w:r>
      <w:r>
        <w:rPr>
          <w:rFonts w:ascii="Times New Roman" w:hAnsi="Times New Roman" w:cs="Times New Roman"/>
          <w:b/>
          <w:sz w:val="24"/>
          <w:szCs w:val="24"/>
        </w:rPr>
        <w:t xml:space="preserve">(далее – «Правила»)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Общие положения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Наименование стимулирующей акции «</w:t>
      </w:r>
      <w:r>
        <w:rPr>
          <w:rFonts w:ascii="Times New Roman" w:hAnsi="Times New Roman" w:cs="Times New Roman"/>
          <w:sz w:val="24"/>
          <w:szCs w:val="24"/>
        </w:rPr>
        <w:t xml:space="preserve">Гастро-Фест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(далее по тексту настоящих Правил – «Акция») проводит Акционерное общество «Каширский двор-Северянин (далее по тексту настоящих Правил – «Организатор»).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Акция н</w:t>
      </w:r>
      <w:r>
        <w:rPr>
          <w:rFonts w:ascii="Times New Roman" w:hAnsi="Times New Roman" w:cs="Times New Roman"/>
          <w:sz w:val="24"/>
          <w:szCs w:val="24"/>
        </w:rPr>
        <w:t xml:space="preserve">аправлена на стимулирование реализации всего ассортимента товаров торговых точек, расположенных в торгово-развлекательном комплексе «Европолис» Ростокино. Акция не преследует цели получения прибыли, либо иного дохода. Плата за участие в Акции не взимается.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Территория проведения Акции: Акция проводится в действующих во время проведения Акции торговых точках торгово-развлекательного комплекса «Европолис» Ростокино,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по адресу: г. Москва, Проспект мира, д.211, к.2 (далее – ТРК «Европолис» Ростокино) за исключением филиалов финансовых и/или кредитных  организаций, реализующих банковские продукты и иные услуги, а также точек продаж смешанного типа в части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такими точками банковских продуктов и иных финансовых услуг населению, в том числе пополнения счетов мобильных телефонов, осуществления денежных переводов, оплаты услуг через автоматизированные устройства приема денежных средств и иных платежей.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Акционерное общество «Каширский двор-Северянин»,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129226, г. Москва, Проспект мира, д.211, к.2, эт.4, пом. I, ком. 10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195220, Россия, Санкт-Петербург, Гражданский проспект 41, литер Б.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7706199246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КПП 775050001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40702810955000003772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ПАО Сбербанк г. Санкт-Петербург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30101810500000000653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044030653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Участник акции – посетитель совершивший покупку в ТРК и зарегистрировавший чеки под одной ФИО, почтой и телефоном.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Сроки проведения Акции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</w:t>
      </w:r>
      <w:r>
        <w:rPr>
          <w:rFonts w:ascii="Times New Roman" w:hAnsi="Times New Roman" w:cs="Times New Roman"/>
          <w:sz w:val="24"/>
          <w:szCs w:val="24"/>
        </w:rPr>
        <w:tab/>
        <w:t xml:space="preserve">Общий срок проведения Акции – с 10:00, </w:t>
      </w:r>
      <w:r>
        <w:rPr>
          <w:rFonts w:ascii="Times New Roman" w:hAnsi="Times New Roman" w:cs="Times New Roman"/>
          <w:sz w:val="24"/>
          <w:szCs w:val="24"/>
        </w:rPr>
        <w:t xml:space="preserve"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 xml:space="preserve">  2024 года – до 14:00, 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 xml:space="preserve">2024 года. Общий срок проведения Акции включает в себя период регистрации в Акции, период выдачи призов.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Принять участие в Акции можно с 10:00, 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 xml:space="preserve">октября  </w:t>
      </w:r>
      <w:r>
        <w:rPr>
          <w:rFonts w:ascii="Times New Roman" w:hAnsi="Times New Roman" w:cs="Times New Roman"/>
          <w:sz w:val="24"/>
          <w:szCs w:val="24"/>
        </w:rPr>
        <w:t xml:space="preserve"> - до 14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00, 25 ноября 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по адресу, указанному в п.1.3 настоящих Правил.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</w:t>
      </w:r>
      <w:r>
        <w:rPr>
          <w:rFonts w:ascii="Times New Roman" w:hAnsi="Times New Roman" w:cs="Times New Roman"/>
          <w:sz w:val="24"/>
          <w:szCs w:val="24"/>
        </w:rPr>
        <w:tab/>
        <w:t xml:space="preserve">График работы сайта podarok.europolis-msk.ru, по регистрации чеков, с 10:00,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октября </w:t>
      </w:r>
      <w:r>
        <w:rPr>
          <w:rFonts w:ascii="Times New Roman" w:hAnsi="Times New Roman" w:cs="Times New Roman"/>
          <w:sz w:val="24"/>
          <w:szCs w:val="24"/>
        </w:rPr>
        <w:t xml:space="preserve">2024 года – до 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:00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 </w:t>
      </w:r>
      <w:r>
        <w:rPr>
          <w:rFonts w:ascii="Times New Roman" w:hAnsi="Times New Roman" w:cs="Times New Roman"/>
          <w:sz w:val="24"/>
          <w:szCs w:val="24"/>
        </w:rPr>
        <w:t xml:space="preserve"> 2024 года. Регистрация чеков на сайте завершается 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 xml:space="preserve">2024 года</w:t>
      </w:r>
      <w:r>
        <w:rPr>
          <w:rFonts w:ascii="Times New Roman" w:hAnsi="Times New Roman" w:cs="Times New Roman"/>
          <w:sz w:val="24"/>
          <w:szCs w:val="24"/>
        </w:rPr>
        <w:t xml:space="preserve"> в 14:00.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оставляет за собой право в любой момент времени без предварительного предупреждения и объяснения причин, завершить полностью или временно приостановить проведение Акции. Досрочное завершение Акции не может служить причиной для претензий.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</w:t>
      </w:r>
      <w:r>
        <w:rPr>
          <w:rFonts w:ascii="Times New Roman" w:hAnsi="Times New Roman" w:cs="Times New Roman"/>
          <w:sz w:val="24"/>
          <w:szCs w:val="24"/>
        </w:rPr>
        <w:tab/>
        <w:t xml:space="preserve">Настоящие Правила вступают в законную силу с </w:t>
      </w:r>
      <w:r>
        <w:rPr>
          <w:rFonts w:ascii="Times New Roman" w:hAnsi="Times New Roman" w:cs="Times New Roman"/>
          <w:sz w:val="24"/>
          <w:szCs w:val="24"/>
        </w:rPr>
        <w:t xml:space="preserve">21 октября </w:t>
      </w:r>
      <w:r>
        <w:rPr>
          <w:rFonts w:ascii="Times New Roman" w:hAnsi="Times New Roman" w:cs="Times New Roman"/>
          <w:sz w:val="24"/>
          <w:szCs w:val="24"/>
        </w:rPr>
        <w:t xml:space="preserve">2024 года в 10:00 по московскому времени.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Права и обязанности участников и Организатора Акции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ab/>
        <w:t xml:space="preserve">К участию в Акции допускаются постоянно проживающие на территории Российской Федерации дееспособные граждане Российской Федерации, достигшие 18-летнего возраста.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ab/>
        <w:t xml:space="preserve">В Акции запрещается принимать участие сотрудникам всех торговых объектов (ма</w:t>
      </w:r>
      <w:r>
        <w:rPr>
          <w:rFonts w:ascii="Times New Roman" w:hAnsi="Times New Roman" w:cs="Times New Roman"/>
          <w:sz w:val="24"/>
          <w:szCs w:val="24"/>
        </w:rPr>
        <w:t xml:space="preserve">газины/рестораны), расположенных на территории ТРК «Европолис» Ростокино, а также членам их семей, сотрудникам и представителям Организатора Акции и аффилированным с ним лицам, сотрудникам управляющей компании ТРК «Европолис» Ростокино, членам их семей, а </w:t>
      </w:r>
      <w:r>
        <w:rPr>
          <w:rFonts w:ascii="Times New Roman" w:hAnsi="Times New Roman" w:cs="Times New Roman"/>
          <w:sz w:val="24"/>
          <w:szCs w:val="24"/>
        </w:rPr>
        <w:t xml:space="preserve">также сотрудникам и представителям любых других юридических лиц, имеющих отношение к организации и/или проведению Акции, а также членам их семей. Лица, соответствующие вышеуказанным положениям, не имеют право на участие в Акции и право на получение призов.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Участник Акции вправе: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</w:t>
      </w:r>
      <w:r>
        <w:rPr>
          <w:rFonts w:ascii="Times New Roman" w:hAnsi="Times New Roman" w:cs="Times New Roman"/>
          <w:sz w:val="24"/>
          <w:szCs w:val="24"/>
        </w:rPr>
        <w:tab/>
        <w:t xml:space="preserve">Ознакомиться с Правилами Акции можно на сайте podarok.europolis-msk.ru,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Принимать участие в Акции в порядке, предусмотренном настоящими Правилами.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Участники Акции обязаны выполнять все действия, связанные с участием в Акции и получением призов, в установленные Правилами Акции сроки.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имеет право разглашать пер</w:t>
      </w:r>
      <w:r>
        <w:rPr>
          <w:rFonts w:ascii="Times New Roman" w:hAnsi="Times New Roman" w:cs="Times New Roman"/>
          <w:sz w:val="24"/>
          <w:szCs w:val="24"/>
        </w:rPr>
        <w:t xml:space="preserve">сональные данные участника Акции, признанного обладателем приза, только с разрешения участника. Организатор не вправе предоставлять информацию об участнике Акции третьим лицам,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Участники Акции, получившие призы стоимостью свыше 4000 рублей, обязаны осуществлять уплату всех налогов и иных существующих обязательных платежей, связанных с получением призов, установленных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Участники, признанные обладателями призов, обязаны, по просьбе Организатора, принимать участие в интервьюировании, фото - и видеосъёмке, рекламе в связи с признанием обладателями призов, без выплаты за это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полнительного вознаграждения. Факт участия в Акции подразумевает, что Участники Акции выражают свое согласие с тем, что их инициалы (имена, отчества, фамилии), дата рождения, изображение, фото и видеоматериалы могут быть использованы Организатором Акции, а</w:t>
      </w:r>
      <w:r>
        <w:rPr>
          <w:rFonts w:ascii="Times New Roman" w:hAnsi="Times New Roman" w:cs="Times New Roman"/>
          <w:sz w:val="24"/>
          <w:szCs w:val="24"/>
        </w:rPr>
        <w:t xml:space="preserve"> также переданы третьим лицам, имеющим договорные отношения с Организатором, без получения дополнительного согласия, в рекламных и иных коммерческих целях, направленных на продвижение ТРК «Европолис» Ростокино в какой бы то ни было форме, как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так и за рубежом, в течение неограниченного срока и без выплаты каких-либо вознаграждений. Участники Акции соглашаются на публикацию готовых фото- и видеоматериалов со своим участием в Акции без дополнительной выплаты вознаграждения.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Участвуя в</w:t>
      </w:r>
      <w:r>
        <w:rPr>
          <w:rFonts w:ascii="Times New Roman" w:hAnsi="Times New Roman" w:cs="Times New Roman"/>
          <w:sz w:val="24"/>
          <w:szCs w:val="24"/>
        </w:rPr>
        <w:t xml:space="preserve"> Акции, Участник Акции подтверждает свое ознакомление и согласие с настоящими Правилами, а также подтверждает, что является гражданином Российской Федерации, достигшим 18-летнего возраста. Согласие с Правилами является полным, безоговорочным и безотзывным.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Участнику Акции необходимо сохранять до финального розыгрыша: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Чеки на покупку товаров или услуг до окончания Акции;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Скриншот письма, полученного при электронной регистрации на сайте podarok.europolis-msk.ru,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вправе отказать Участнику Акции во вручении приза в случае установления факта нарушения им настоящих Правил.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вправе отказать Участнику Акции в рассмотрении претензии в связи с неполучением приза в случае нарушения Участником Акции настоящих Правил.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Организатор оставляет за собой право отказать в участии любому Участнику без объяснения причин.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случае или нарушения Участником Акции настоящих Правил, Участник Акции не признается обладателем приза.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Участник Акции не признается обладателем приза в случае выявления Организатором действий Участника не связанных с личными покупками, а направленными исключительно на участие в Акции, в том числе сбор чеков от покупок, совершенных третьими лицами.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не осуществляет вручение призов в случае выявления </w:t>
      </w:r>
      <w:r>
        <w:rPr>
          <w:rFonts w:ascii="Times New Roman" w:hAnsi="Times New Roman" w:cs="Times New Roman"/>
          <w:sz w:val="24"/>
          <w:szCs w:val="24"/>
        </w:rPr>
        <w:t xml:space="preserve">вышеуказанных фактов, в том числе, мошенничества Участника в процессе участия в Акции, в случае фальсификации и иных нарушений в ходе участия в Акции. Организатор определяет наличие фактов мошенничества, фальсификации и иных нарушений по своему усмотрению.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не несет ответственности за неполучение Участниками Акции призов в случае не востребования их Участниками или отказа от них.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случае отказа Участника, ставшего обладателем приза, от полу</w:t>
      </w:r>
      <w:r>
        <w:rPr>
          <w:rFonts w:ascii="Times New Roman" w:hAnsi="Times New Roman" w:cs="Times New Roman"/>
          <w:sz w:val="24"/>
          <w:szCs w:val="24"/>
        </w:rPr>
        <w:t xml:space="preserve">чения приза, либо несоответствия Участника требованиям настоящих Правил, Организатор вправе передать приз другому Участнику по своему усмотрению, либо распорядиться призом иным способом, не противоречащим действующему законодательству Российский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Акции оставляет на свое усмотрение право выбора способа осуществления участия в Акции.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Порядок информирования об условиях проведения Акции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Участники, в том числе потенциальные участники Акции, информируются об условиях её проведения путём размещения соответствующей информации: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 На рекламных поверхностях в местах проведения Акции – ТРК «Европолис» Ростокино, расположенному по адресу, указанным в п.1.3 Настоящих Правил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 На сайте podarok.europolis-msk.ru, в группах ТРК «Европолис» Ростокино, в социальных сетях.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 Иными способами по выбору Организатора.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      Порядок участия в Акции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участия в Акции необходимо с </w:t>
      </w:r>
      <w:r>
        <w:rPr>
          <w:rFonts w:ascii="Times New Roman" w:hAnsi="Times New Roman" w:cs="Times New Roman"/>
          <w:sz w:val="24"/>
          <w:szCs w:val="24"/>
        </w:rPr>
        <w:t xml:space="preserve">21 октября </w:t>
      </w:r>
      <w:r>
        <w:rPr>
          <w:rFonts w:ascii="Times New Roman" w:hAnsi="Times New Roman" w:cs="Times New Roman"/>
          <w:sz w:val="24"/>
          <w:szCs w:val="24"/>
        </w:rPr>
        <w:t xml:space="preserve">2024 года (с 10:00 по московскому времени) по 2</w:t>
      </w:r>
      <w:r>
        <w:rPr>
          <w:rFonts w:ascii="Times New Roman" w:hAnsi="Times New Roman" w:cs="Times New Roman"/>
          <w:sz w:val="24"/>
          <w:szCs w:val="24"/>
        </w:rPr>
        <w:t xml:space="preserve">5 ноября </w:t>
      </w:r>
      <w:r>
        <w:rPr>
          <w:rFonts w:ascii="Times New Roman" w:hAnsi="Times New Roman" w:cs="Times New Roman"/>
          <w:sz w:val="24"/>
          <w:szCs w:val="24"/>
        </w:rPr>
        <w:t xml:space="preserve">2024 года (до 14:00 по московскому времени) в ТРК «Европолис» Ростокино: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Для участия в розыгрыше ценных подарков необходимо совершить покупку любых товаров или услуг в магазинах, расположенных в ТРК «Европолис» Ростокино на сумму от 3500 </w:t>
      </w:r>
      <w:r>
        <w:rPr>
          <w:rFonts w:ascii="Times New Roman" w:hAnsi="Times New Roman" w:cs="Times New Roman"/>
          <w:sz w:val="24"/>
          <w:szCs w:val="24"/>
        </w:rPr>
        <w:t xml:space="preserve">рублей (чеки не суммируются), за исключением,  филиалов финансовых и/или кредитных организаций, реализующих банковские продукты и иные услуги, а также точек продаж смешанного типа в части реализации такими точками банковских продуктов и иных финансовых усл</w:t>
      </w:r>
      <w:r>
        <w:rPr>
          <w:rFonts w:ascii="Times New Roman" w:hAnsi="Times New Roman" w:cs="Times New Roman"/>
          <w:sz w:val="24"/>
          <w:szCs w:val="24"/>
        </w:rPr>
        <w:t xml:space="preserve">уг населению, в том числе пополнения счетов мобильных телефонов, осуществления денежных переводов, оплаты услуг через автоматизированные устройства приема денежных средств и иных платежей. Один участник может регистрировать неограниченное количество чеков.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</w:t>
      </w:r>
      <w:r>
        <w:rPr>
          <w:rFonts w:ascii="Times New Roman" w:hAnsi="Times New Roman" w:cs="Times New Roman"/>
          <w:sz w:val="24"/>
          <w:szCs w:val="24"/>
        </w:rPr>
        <w:tab/>
        <w:t xml:space="preserve">Зарегистрировать чек необходимо на сайте: podarok.europolis-msk.ru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регистрации чека на сайте podarok.europolis-msk.ru заполнить форму и анкету, получить подтверждение о регистрации на почту, сохранить фото электронного письма и чек до розыгрыша.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Порядок вручения призов Акции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</w:t>
      </w:r>
      <w:r>
        <w:rPr>
          <w:rFonts w:ascii="Times New Roman" w:hAnsi="Times New Roman" w:cs="Times New Roman"/>
          <w:sz w:val="24"/>
          <w:szCs w:val="24"/>
        </w:rPr>
        <w:tab/>
        <w:t xml:space="preserve">Определение Победителя Акции: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Каждый понедельник   </w:t>
      </w:r>
      <w:r>
        <w:rPr>
          <w:rFonts w:ascii="Times New Roman" w:hAnsi="Times New Roman" w:cs="Times New Roman"/>
          <w:sz w:val="24"/>
          <w:szCs w:val="24"/>
        </w:rPr>
        <w:t xml:space="preserve">в 19:00 в официальной группе Вконтакте ТРК «Европолис» Ростокино будет проводиться розыгрыш подарков среди купонов у</w:t>
      </w:r>
      <w:r>
        <w:rPr>
          <w:rFonts w:ascii="Times New Roman" w:hAnsi="Times New Roman" w:cs="Times New Roman"/>
          <w:sz w:val="24"/>
          <w:szCs w:val="24"/>
        </w:rPr>
        <w:t xml:space="preserve">частников, совершивших покупку от 3500 рублей (чеки не суммируются) за предыдущую календарную неделю. Итоги будут подводиться с помощью генератора случайных чисел. Участники розыгрыша получают возможность выиграть подарки от магазинов/кафе/салонов и партнё</w:t>
      </w:r>
      <w:r>
        <w:rPr>
          <w:rFonts w:ascii="Times New Roman" w:hAnsi="Times New Roman" w:cs="Times New Roman"/>
          <w:sz w:val="24"/>
          <w:szCs w:val="24"/>
        </w:rPr>
        <w:t xml:space="preserve">ров ТРК «Европолис» Ростокино. Время подведения итогов акции может быть изменено. Один участник вправе получить несколько призов от магазинов/кафе/салонов и партнёров ТРК «Европолис» Ростокино за весь период Акции, в случае неоднократной регистрации чеков.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</w:t>
      </w:r>
      <w:r>
        <w:rPr>
          <w:rFonts w:ascii="Times New Roman" w:hAnsi="Times New Roman" w:cs="Times New Roman"/>
          <w:sz w:val="24"/>
          <w:szCs w:val="24"/>
        </w:rPr>
        <w:t xml:space="preserve"> октября,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,1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, 2</w:t>
      </w:r>
      <w:r>
        <w:rPr>
          <w:rFonts w:ascii="Times New Roman" w:hAnsi="Times New Roman" w:cs="Times New Roman"/>
          <w:sz w:val="24"/>
          <w:szCs w:val="24"/>
        </w:rPr>
        <w:t xml:space="preserve">5 ноября  </w:t>
      </w:r>
      <w:r>
        <w:rPr>
          <w:rFonts w:ascii="Times New Roman" w:hAnsi="Times New Roman" w:cs="Times New Roman"/>
          <w:sz w:val="24"/>
          <w:szCs w:val="24"/>
        </w:rPr>
        <w:t xml:space="preserve"> в официальной группе Вконтакте ТРК «Европолис» Ростокино будет проводиться розыгрыш подарков от генерального партнера </w:t>
      </w:r>
      <w:r>
        <w:rPr>
          <w:rFonts w:ascii="Times New Roman" w:hAnsi="Times New Roman" w:cs="Times New Roman"/>
          <w:sz w:val="24"/>
          <w:szCs w:val="24"/>
        </w:rPr>
        <w:t xml:space="preserve">ресторанной зо</w:t>
      </w:r>
      <w:r>
        <w:rPr>
          <w:rFonts w:ascii="Times New Roman" w:hAnsi="Times New Roman" w:cs="Times New Roman"/>
          <w:sz w:val="24"/>
          <w:szCs w:val="24"/>
        </w:rPr>
        <w:t xml:space="preserve">ны</w:t>
      </w:r>
      <w:r>
        <w:rPr>
          <w:rFonts w:ascii="Times New Roman" w:hAnsi="Times New Roman" w:cs="Times New Roman"/>
          <w:sz w:val="24"/>
          <w:szCs w:val="24"/>
        </w:rPr>
        <w:t xml:space="preserve"> сады </w:t>
      </w:r>
      <w:r>
        <w:rPr>
          <w:rFonts w:ascii="Times New Roman" w:hAnsi="Times New Roman" w:cs="Times New Roman"/>
          <w:sz w:val="24"/>
          <w:szCs w:val="24"/>
        </w:rPr>
        <w:t xml:space="preserve">Европолиса </w:t>
      </w:r>
      <w:r>
        <w:rPr>
          <w:rFonts w:ascii="Times New Roman" w:hAnsi="Times New Roman" w:cs="Times New Roman"/>
          <w:sz w:val="24"/>
          <w:szCs w:val="24"/>
        </w:rPr>
        <w:t xml:space="preserve">среди купонов участников, совершивших покупку от </w:t>
      </w:r>
      <w:r>
        <w:rPr>
          <w:rFonts w:ascii="Times New Roman" w:hAnsi="Times New Roman" w:cs="Times New Roman"/>
          <w:sz w:val="24"/>
          <w:szCs w:val="24"/>
        </w:rPr>
        <w:t xml:space="preserve">6 500 </w:t>
      </w:r>
      <w:r>
        <w:rPr>
          <w:rFonts w:ascii="Times New Roman" w:hAnsi="Times New Roman" w:cs="Times New Roman"/>
          <w:sz w:val="24"/>
          <w:szCs w:val="24"/>
        </w:rPr>
        <w:t xml:space="preserve">рублей (чеки не суммируются) за предыдущий период. Итоги будут подводиться с помощью генератора случайных чисел. Участники розыгрыша получают возможность выиграть подарки от ген</w:t>
      </w:r>
      <w:r>
        <w:rPr>
          <w:rFonts w:ascii="Times New Roman" w:hAnsi="Times New Roman" w:cs="Times New Roman"/>
          <w:sz w:val="24"/>
          <w:szCs w:val="24"/>
        </w:rPr>
        <w:t xml:space="preserve">ерального партнера акции.  Время подведения итогов акции может быть изменено. Один участник вправе получить несколько призов от партнеров акции ТРК «Европолис» Ростокино за весь период Акции, в случае неоднократной регистрации чеков необходимого номинала.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6.1.3. Подарки участникам акции по итогам розыгрыша вручаются в течение 5 рабочих дн</w:t>
      </w:r>
      <w:r>
        <w:rPr>
          <w:rFonts w:ascii="Times New Roman" w:hAnsi="Times New Roman" w:cs="Times New Roman"/>
          <w:sz w:val="24"/>
          <w:szCs w:val="24"/>
        </w:rPr>
        <w:t xml:space="preserve">ей с момента анонсирования результатов розыгрыша. Если участник акции не приходит за получением подарка в назначенное время, Организатор акции имеет право вернуть не востребованный подарок в подарочный фонд акции или использовать его по своему усмотрению.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6.1.4. При получении подарка участнику акции необходимо предъявить чек о приобретенном товаре.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Призовой фонд Акции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Призовой фонд акции формируется индивидуально и состоит из призов, предоставленных партнерами/магазинами/кафе/ресторанами/салонами ТРК «Европолис» Ростокино.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</w:t>
      </w:r>
      <w:r>
        <w:rPr>
          <w:rFonts w:ascii="Times New Roman" w:hAnsi="Times New Roman" w:cs="Times New Roman"/>
          <w:sz w:val="24"/>
          <w:szCs w:val="24"/>
        </w:rPr>
        <w:tab/>
        <w:t xml:space="preserve">Выплата денежного эквивалента стоимости приза вместо выдачи приза в натуре, или замена другими призами не производится.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</w:t>
      </w:r>
      <w:r>
        <w:rPr>
          <w:rFonts w:ascii="Times New Roman" w:hAnsi="Times New Roman" w:cs="Times New Roman"/>
          <w:sz w:val="24"/>
          <w:szCs w:val="24"/>
        </w:rPr>
        <w:tab/>
        <w:t xml:space="preserve">Претензии относительно качества призов должны предъявляться непосредственно п</w:t>
      </w:r>
      <w:r>
        <w:rPr>
          <w:rFonts w:ascii="Times New Roman" w:hAnsi="Times New Roman" w:cs="Times New Roman"/>
          <w:sz w:val="24"/>
          <w:szCs w:val="24"/>
        </w:rPr>
        <w:t xml:space="preserve">роизводителям этих призов. Целостность и функциональная пригодность призов должна проверяться Участниками непосредственно при получении Приза. Организатор не несет ответственности за любые повреждения Приза, возникшие после передачи Приза Обладателю приза.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</w:t>
      </w:r>
      <w:r>
        <w:rPr>
          <w:rFonts w:ascii="Times New Roman" w:hAnsi="Times New Roman" w:cs="Times New Roman"/>
          <w:sz w:val="24"/>
          <w:szCs w:val="24"/>
        </w:rPr>
        <w:tab/>
        <w:t xml:space="preserve">Обязательства Организатора по выдаче призов участникам Акции ограничены призовым фондом, прописанным выше. Призовой фонд может быть увеличен Организатором в любой момент времени в период проведения Акции.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Персональные данные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Принимая участие в Акции, участник, действуя своей волей и в своем интересе, даёт согласие Организа</w:t>
      </w:r>
      <w:r>
        <w:rPr>
          <w:rFonts w:ascii="Times New Roman" w:hAnsi="Times New Roman" w:cs="Times New Roman"/>
          <w:sz w:val="24"/>
          <w:szCs w:val="24"/>
        </w:rPr>
        <w:t xml:space="preserve">тору на обработку своих персональных данных, на следующих условиях: персональные данные будут использоваться исключительно Организатором в связи с проведением настоящей Акции, и не будут предоставляться никаким третьим лицам для целей, не связанных с насто</w:t>
      </w:r>
      <w:r>
        <w:rPr>
          <w:rFonts w:ascii="Times New Roman" w:hAnsi="Times New Roman" w:cs="Times New Roman"/>
          <w:sz w:val="24"/>
          <w:szCs w:val="24"/>
        </w:rPr>
        <w:t xml:space="preserve">ящей Акцией. Согласие даётся на совершение следующих действий с персональными данными: сбор, запись, систематизация, накопление, хранение, уточнение (обновление, изменение), использование, распространение в случаях и в объёме, предусмотренных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 и настоящими Правилами, обезличивание, блокирование, уничтожение персональных данных. В случае отзыва Участником Акции своего согласия на обработку своих персональных данных Участник автоматически прекращает свое участие в Акции, </w:t>
      </w:r>
      <w:r>
        <w:rPr>
          <w:rFonts w:ascii="Times New Roman" w:hAnsi="Times New Roman" w:cs="Times New Roman"/>
          <w:sz w:val="24"/>
          <w:szCs w:val="24"/>
        </w:rPr>
        <w:t xml:space="preserve">и Организатор не несет ответственность, если неисполнение им обязанностей, предусмотренных настоящими Правилами, произошло вследствие уничтожения персональных данных Участника в результате отзыва Участником своего согласия на обработку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Перечень персональных данных участника Акции, обработка которых </w:t>
      </w:r>
      <w:r>
        <w:rPr>
          <w:rFonts w:ascii="Times New Roman" w:hAnsi="Times New Roman" w:cs="Times New Roman"/>
          <w:sz w:val="24"/>
          <w:szCs w:val="24"/>
        </w:rPr>
        <w:t xml:space="preserve">будет осуществляться Организатором Акции, указанных при заполнении Анкеты Участника: фамилия, имя, отчество, номер мобильного телефона, e-mail. Перечень персональных данных участника Акции, обработка которых будет осуществляться Организатором Акции, не ука</w:t>
      </w:r>
      <w:r>
        <w:rPr>
          <w:rFonts w:ascii="Times New Roman" w:hAnsi="Times New Roman" w:cs="Times New Roman"/>
          <w:sz w:val="24"/>
          <w:szCs w:val="24"/>
        </w:rPr>
        <w:t xml:space="preserve">зываемых при заполнении Анкеты Участника, и предоставляемых исключительно участниками, выигравшими призы стоимостью свыше 4 000 рублей, по запросу Организатора Акции: данные паспорта гражданина РФ, информация об адресе регистрации по месту жительства, ИНН.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</w:t>
      </w:r>
      <w:r>
        <w:rPr>
          <w:rFonts w:ascii="Times New Roman" w:hAnsi="Times New Roman" w:cs="Times New Roman"/>
          <w:sz w:val="24"/>
          <w:szCs w:val="24"/>
        </w:rPr>
        <w:tab/>
        <w:t xml:space="preserve">Персональные данные, указанные в п.9.2. настоящих Правил, обрабатываются Организатором с целью надлежащего проведения Акции.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Дополнения к настоящим Правилам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не несёт ответственности за действия (бездействия), а также ошибки участников Акции.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несёт расходы, только прямо указа</w:t>
      </w:r>
      <w:r>
        <w:rPr>
          <w:rFonts w:ascii="Times New Roman" w:hAnsi="Times New Roman" w:cs="Times New Roman"/>
          <w:sz w:val="24"/>
          <w:szCs w:val="24"/>
        </w:rPr>
        <w:t xml:space="preserve">нные в настоящих Правилах. Все прочие расходы, связанные с участием в Акции (покупка товаров для участия в Акции), в т.ч. получением призов (проезд к месту вручения), доставка призов до места жительства участники несут самостоятельно и за собственный счёт.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имеет право на своё усмотрение в одностороннем порядке </w:t>
      </w:r>
      <w:r>
        <w:rPr>
          <w:rFonts w:ascii="Times New Roman" w:hAnsi="Times New Roman" w:cs="Times New Roman"/>
          <w:sz w:val="24"/>
          <w:szCs w:val="24"/>
        </w:rPr>
        <w:t xml:space="preserve">запретить дальнейшее участие в настоящей Акции любому лицу, которое действует в нарушение настоящих Правил, осуществляет действия с намерением оскорблять, угрожать или причинять беспокойство любому иному лицу, которое может быть связано с настоящей Акцией.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не несёт ответственности перед участниками Акции в случае возникновения форс-мажорных обстоятельств, непосредственно влияющих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Организатором своих обязательств, включая наводнения, пожары, забастовки, землетрясения или другие природные факторы; массовые эпидемии; распоряжения государственных или правоохранительных органов, и другие, не зависящие от Организатора объективные причины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случае утраты или порчи приза Участником Акции Организатор Акции не несет никакой ответственности.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досрочном прекращении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и при любых изменениях в условиях Акции Организатор публикует в сети Интернет на сайте podarok.europolis-msk.ru сообщение о прекращении проведения Акции и/или изменениях условий, и/или иным способом публично уведомляет об указанном прекращении.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9.8.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Организатор оставляет за собой право в течение периода проведения Акции вносить изменения в на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стоящие Правила.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</w:style>
  <w:style w:type="paragraph" w:styleId="669">
    <w:name w:val="Heading 1"/>
    <w:basedOn w:val="668"/>
    <w:next w:val="668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basedOn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basedOn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basedOn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basedOn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character" w:styleId="691" w:customStyle="1">
    <w:name w:val="Subtitle Char"/>
    <w:basedOn w:val="678"/>
    <w:uiPriority w:val="11"/>
    <w:rPr>
      <w:sz w:val="24"/>
      <w:szCs w:val="24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Header Char"/>
    <w:basedOn w:val="678"/>
    <w:uiPriority w:val="99"/>
  </w:style>
  <w:style w:type="character" w:styleId="695" w:customStyle="1">
    <w:name w:val="Caption Char"/>
    <w:uiPriority w:val="99"/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68"/>
    <w:next w:val="668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78"/>
    <w:link w:val="707"/>
    <w:uiPriority w:val="10"/>
    <w:rPr>
      <w:sz w:val="48"/>
      <w:szCs w:val="48"/>
    </w:rPr>
  </w:style>
  <w:style w:type="paragraph" w:styleId="709">
    <w:name w:val="Subtitle"/>
    <w:basedOn w:val="668"/>
    <w:next w:val="668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78"/>
    <w:link w:val="709"/>
    <w:uiPriority w:val="11"/>
    <w:rPr>
      <w:sz w:val="24"/>
      <w:szCs w:val="24"/>
    </w:rPr>
  </w:style>
  <w:style w:type="paragraph" w:styleId="711">
    <w:name w:val="Quote"/>
    <w:basedOn w:val="668"/>
    <w:next w:val="668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8"/>
    <w:next w:val="668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8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basedOn w:val="678"/>
    <w:link w:val="715"/>
    <w:uiPriority w:val="99"/>
  </w:style>
  <w:style w:type="paragraph" w:styleId="717">
    <w:name w:val="Footer"/>
    <w:basedOn w:val="668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basedOn w:val="678"/>
    <w:uiPriority w:val="99"/>
  </w:style>
  <w:style w:type="paragraph" w:styleId="719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2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3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1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2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3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4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5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6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5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6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7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8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4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6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8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9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2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3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4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5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6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7">
    <w:name w:val="footnote text"/>
    <w:basedOn w:val="668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basedOn w:val="678"/>
    <w:uiPriority w:val="99"/>
    <w:unhideWhenUsed/>
    <w:rPr>
      <w:vertAlign w:val="superscript"/>
    </w:rPr>
  </w:style>
  <w:style w:type="paragraph" w:styleId="850">
    <w:name w:val="endnote text"/>
    <w:basedOn w:val="668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basedOn w:val="678"/>
    <w:uiPriority w:val="99"/>
    <w:semiHidden/>
    <w:unhideWhenUsed/>
    <w:rPr>
      <w:vertAlign w:val="superscript"/>
    </w:rPr>
  </w:style>
  <w:style w:type="paragraph" w:styleId="853">
    <w:name w:val="toc 1"/>
    <w:basedOn w:val="668"/>
    <w:next w:val="668"/>
    <w:uiPriority w:val="39"/>
    <w:unhideWhenUsed/>
    <w:pPr>
      <w:spacing w:after="57"/>
    </w:pPr>
  </w:style>
  <w:style w:type="paragraph" w:styleId="854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55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56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57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58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59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60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61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68"/>
    <w:next w:val="668"/>
    <w:uiPriority w:val="99"/>
    <w:unhideWhenUsed/>
    <w:pPr>
      <w:spacing w:after="0"/>
    </w:pPr>
  </w:style>
  <w:style w:type="paragraph" w:styleId="864">
    <w:name w:val="List Paragraph"/>
    <w:basedOn w:val="668"/>
    <w:uiPriority w:val="34"/>
    <w:qFormat/>
    <w:pPr>
      <w:contextualSpacing/>
      <w:ind w:left="720"/>
    </w:pPr>
  </w:style>
  <w:style w:type="paragraph" w:styleId="865">
    <w:name w:val="Balloon Text"/>
    <w:basedOn w:val="668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678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annotation reference"/>
    <w:basedOn w:val="678"/>
    <w:uiPriority w:val="99"/>
    <w:semiHidden/>
    <w:unhideWhenUsed/>
    <w:rPr>
      <w:sz w:val="16"/>
      <w:szCs w:val="16"/>
    </w:rPr>
  </w:style>
  <w:style w:type="paragraph" w:styleId="868">
    <w:name w:val="annotation text"/>
    <w:basedOn w:val="668"/>
    <w:link w:val="86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9" w:customStyle="1">
    <w:name w:val="Текст примечания Знак"/>
    <w:basedOn w:val="678"/>
    <w:link w:val="868"/>
    <w:uiPriority w:val="99"/>
    <w:semiHidden/>
    <w:rPr>
      <w:sz w:val="20"/>
      <w:szCs w:val="20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b/>
      <w:bCs/>
      <w:sz w:val="20"/>
      <w:szCs w:val="20"/>
    </w:rPr>
  </w:style>
  <w:style w:type="character" w:styleId="872">
    <w:name w:val="Hyperlink"/>
    <w:basedOn w:val="678"/>
    <w:uiPriority w:val="99"/>
    <w:unhideWhenUsed/>
    <w:rPr>
      <w:color w:val="0563c1" w:themeColor="hyperlink"/>
      <w:u w:val="single"/>
    </w:rPr>
  </w:style>
  <w:style w:type="paragraph" w:styleId="873">
    <w:name w:val="Body Text"/>
    <w:basedOn w:val="668"/>
    <w:link w:val="874"/>
    <w:uiPriority w:val="99"/>
    <w:semiHidden/>
    <w:unhideWhenUsed/>
    <w:pPr>
      <w:spacing w:after="120" w:line="240" w:lineRule="auto"/>
    </w:pPr>
    <w:rPr>
      <w:rFonts w:ascii="Arial" w:hAnsi="Arial" w:cs="Arial"/>
      <w:sz w:val="20"/>
      <w:szCs w:val="20"/>
      <w:lang w:eastAsia="hi-IN"/>
    </w:rPr>
  </w:style>
  <w:style w:type="character" w:styleId="874" w:customStyle="1">
    <w:name w:val="Основной текст Знак"/>
    <w:basedOn w:val="678"/>
    <w:link w:val="873"/>
    <w:uiPriority w:val="99"/>
    <w:semiHidden/>
    <w:rPr>
      <w:rFonts w:ascii="Arial" w:hAnsi="Arial" w:cs="Arial"/>
      <w:sz w:val="20"/>
      <w:szCs w:val="20"/>
      <w:lang w:eastAsia="hi-IN"/>
    </w:rPr>
  </w:style>
  <w:style w:type="paragraph" w:styleId="875">
    <w:name w:val="Revision"/>
    <w:hidden/>
    <w:uiPriority w:val="99"/>
    <w:semiHidden/>
    <w:pPr>
      <w:spacing w:after="0" w:line="240" w:lineRule="auto"/>
    </w:pPr>
  </w:style>
  <w:style w:type="paragraph" w:styleId="876">
    <w:name w:val="No Spacing"/>
    <w:link w:val="877"/>
    <w:uiPriority w:val="99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77" w:customStyle="1">
    <w:name w:val="Без интервала Знак"/>
    <w:basedOn w:val="678"/>
    <w:link w:val="876"/>
    <w:uiPriority w:val="99"/>
    <w:rPr>
      <w:rFonts w:ascii="Calibri" w:hAnsi="Calibri" w:eastAsia="Calibri" w:cs="Times New Roman"/>
    </w:rPr>
  </w:style>
  <w:style w:type="paragraph" w:styleId="878">
    <w:name w:val="Normal (Web)"/>
    <w:basedOn w:val="66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879">
    <w:name w:val="FollowedHyperlink"/>
    <w:basedOn w:val="678"/>
    <w:uiPriority w:val="99"/>
    <w:semiHidden/>
    <w:unhideWhenUsed/>
    <w:rPr>
      <w:color w:val="954f72" w:themeColor="followedHyperlink"/>
      <w:u w:val="single"/>
    </w:rPr>
  </w:style>
  <w:style w:type="character" w:styleId="880">
    <w:name w:val="Strong"/>
    <w:basedOn w:val="67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9D45-E026-4F6F-B0AE-0B46E212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Шамина Ольга Александровна</dc:creator>
  <cp:keywords/>
  <dc:description/>
  <cp:lastModifiedBy>Илья Приданов</cp:lastModifiedBy>
  <cp:revision>5</cp:revision>
  <dcterms:created xsi:type="dcterms:W3CDTF">2024-10-18T08:44:00Z</dcterms:created>
  <dcterms:modified xsi:type="dcterms:W3CDTF">2024-10-18T14:21:40Z</dcterms:modified>
</cp:coreProperties>
</file>